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重庆工业自动化仪表研究所</w:t>
      </w:r>
      <w:r>
        <w:rPr>
          <w:rFonts w:hint="eastAsia" w:ascii="宋体" w:hAnsi="宋体" w:eastAsia="宋体" w:cs="宋体"/>
          <w:b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有限责任公司</w:t>
      </w:r>
    </w:p>
    <w:p>
      <w:pPr>
        <w:jc w:val="center"/>
        <w:rPr>
          <w:rFonts w:hint="eastAsia" w:ascii="宋体" w:hAnsi="宋体" w:eastAsia="宋体" w:cs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可靠性试验（故障模式测定）</w:t>
      </w:r>
      <w:r>
        <w:rPr>
          <w:rFonts w:hint="eastAsia" w:ascii="宋体" w:hAnsi="宋体" w:eastAsia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招标公</w:t>
      </w:r>
      <w:r>
        <w:rPr>
          <w:rFonts w:hint="eastAsia" w:ascii="宋体" w:hAnsi="宋体" w:eastAsia="宋体" w:cs="宋体"/>
          <w:b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告</w:t>
      </w:r>
    </w:p>
    <w:p>
      <w:pPr>
        <w:rPr>
          <w:rFonts w:hint="eastAsia" w:ascii="宋体" w:hAnsi="宋体" w:eastAsia="宋体" w:cs="宋体"/>
          <w:color w:val="000000" w:themeColor="text1"/>
          <w:sz w:val="24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u w:val="single"/>
          <w14:textFill>
            <w14:solidFill>
              <w14:schemeClr w14:val="tx1"/>
            </w14:solidFill>
          </w14:textFill>
        </w:rPr>
        <w:t xml:space="preserve">                                                                            </w:t>
      </w:r>
    </w:p>
    <w:p>
      <w:pPr>
        <w:jc w:val="both"/>
        <w:rPr>
          <w:rFonts w:hint="eastAsia" w:ascii="宋体" w:hAnsi="宋体" w:eastAsia="宋体" w:cs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eastAsia" w:ascii="宋体" w:hAnsi="宋体" w:eastAsia="宋体" w:cs="宋体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重庆工业自动化仪表研究所</w:t>
      </w:r>
      <w:r>
        <w:rPr>
          <w:rFonts w:hint="eastAsia" w:ascii="宋体" w:hAnsi="宋体" w:eastAsia="宋体" w:cs="宋体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有限责任公司</w:t>
      </w:r>
    </w:p>
    <w:p>
      <w:pPr>
        <w:jc w:val="center"/>
        <w:rPr>
          <w:rFonts w:hint="eastAsia" w:ascii="宋体" w:hAnsi="宋体" w:eastAsia="宋体" w:cs="宋体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可靠性试验（故障模式测定）</w:t>
      </w:r>
    </w:p>
    <w:p>
      <w:pPr>
        <w:jc w:val="center"/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eastAsia" w:ascii="宋体" w:hAnsi="宋体" w:eastAsia="宋体" w:cs="宋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招</w:t>
      </w:r>
      <w:r>
        <w:rPr>
          <w:rFonts w:hint="eastAsia" w:ascii="宋体" w:hAnsi="宋体" w:eastAsia="宋体" w:cs="宋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标</w:t>
      </w:r>
      <w:r>
        <w:rPr>
          <w:rFonts w:hint="eastAsia" w:ascii="宋体" w:hAnsi="宋体" w:eastAsia="宋体" w:cs="宋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公</w:t>
      </w:r>
      <w:r>
        <w:rPr>
          <w:rFonts w:hint="eastAsia" w:ascii="宋体" w:hAnsi="宋体" w:eastAsia="宋体" w:cs="宋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告</w:t>
      </w:r>
    </w:p>
    <w:p>
      <w:pPr>
        <w:jc w:val="center"/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招标编号：202</w:t>
      </w:r>
      <w:r>
        <w:rPr>
          <w:rFonts w:hint="eastAsia" w:ascii="宋体" w:hAnsi="宋体" w:eastAsia="宋体" w:cs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-</w:t>
      </w:r>
      <w:r>
        <w:rPr>
          <w:rFonts w:hint="eastAsia" w:ascii="宋体" w:hAnsi="宋体" w:eastAsia="宋体" w:cs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GKY</w:t>
      </w: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-001</w:t>
      </w:r>
    </w:p>
    <w:p>
      <w:pPr>
        <w:jc w:val="center"/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500" w:lineRule="exact"/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 xml:space="preserve">1 </w:t>
      </w: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招标条件</w:t>
      </w:r>
    </w:p>
    <w:p>
      <w:pPr>
        <w:snapToGrid w:val="0"/>
        <w:spacing w:line="500" w:lineRule="exact"/>
        <w:ind w:firstLine="482"/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重庆工业自动化仪表研究所</w:t>
      </w:r>
      <w:r>
        <w:rPr>
          <w:rFonts w:hint="eastAsia" w:ascii="宋体" w:hAnsi="宋体" w:eastAsia="宋体" w:cs="宋体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有限责任公司</w:t>
      </w:r>
      <w:r>
        <w:rPr>
          <w:rFonts w:hint="eastAsia" w:ascii="宋体" w:hAnsi="宋体" w:eastAsia="宋体" w:cs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智能压力变送器及</w:t>
      </w:r>
      <w:r>
        <w:rPr>
          <w:rFonts w:hint="eastAsia" w:ascii="宋体" w:hAnsi="宋体" w:eastAsia="宋体" w:cs="宋体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智能孔板流量计</w:t>
      </w:r>
      <w:r>
        <w:rPr>
          <w:rFonts w:hint="eastAsia" w:ascii="宋体" w:hAnsi="宋体" w:eastAsia="宋体" w:cs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宋体" w:hAnsi="宋体" w:eastAsia="宋体" w:cs="宋体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可靠性试验（故障模式测定）</w:t>
      </w: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已具备招标条件</w:t>
      </w:r>
      <w:r>
        <w:rPr>
          <w:rFonts w:hint="eastAsia" w:ascii="宋体" w:hAnsi="宋体" w:eastAsia="宋体" w:cs="宋体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现对该项目进行公开招标，特邀请有兴趣的潜在投标人参与投标。</w:t>
      </w:r>
    </w:p>
    <w:p>
      <w:pPr>
        <w:snapToGrid w:val="0"/>
        <w:spacing w:line="500" w:lineRule="exact"/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 xml:space="preserve">2 </w:t>
      </w: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项目概况与招标范围</w:t>
      </w:r>
    </w:p>
    <w:p>
      <w:pPr>
        <w:snapToGrid w:val="0"/>
        <w:spacing w:line="500" w:lineRule="exact"/>
        <w:ind w:firstLine="482"/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重庆工业自动化仪表研究所</w:t>
      </w:r>
      <w:r>
        <w:rPr>
          <w:rFonts w:hint="eastAsia" w:ascii="宋体" w:hAnsi="宋体" w:eastAsia="宋体" w:cs="宋体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有限责任公司</w:t>
      </w:r>
      <w:r>
        <w:rPr>
          <w:rFonts w:hint="eastAsia" w:ascii="宋体" w:hAnsi="宋体" w:eastAsia="宋体" w:cs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智能压力变送器及</w:t>
      </w:r>
      <w:r>
        <w:rPr>
          <w:rFonts w:hint="eastAsia" w:ascii="宋体" w:hAnsi="宋体" w:eastAsia="宋体" w:cs="宋体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智能孔板流量计可靠性试验（故障模式测定）</w:t>
      </w: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进行公开招标，</w:t>
      </w:r>
      <w:r>
        <w:rPr>
          <w:rFonts w:hint="eastAsia" w:ascii="宋体" w:hAnsi="宋体" w:eastAsia="宋体" w:cs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智能压力变送器及</w:t>
      </w:r>
      <w:r>
        <w:rPr>
          <w:rFonts w:hint="eastAsia" w:ascii="宋体" w:hAnsi="宋体" w:eastAsia="宋体" w:cs="宋体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智能孔板流量计可靠性试验（故障模式测定）</w:t>
      </w:r>
      <w:r>
        <w:rPr>
          <w:rFonts w:hint="eastAsia" w:ascii="宋体" w:hAnsi="宋体" w:cs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宋体" w:hAnsi="宋体" w:eastAsia="宋体" w:cs="宋体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规范要求</w:t>
      </w:r>
      <w:r>
        <w:rPr>
          <w:rFonts w:hint="eastAsia" w:ascii="宋体" w:hAnsi="宋体" w:cs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详见</w:t>
      </w:r>
      <w:r>
        <w:rPr>
          <w:rFonts w:hint="eastAsia" w:ascii="宋体" w:hAnsi="宋体" w:eastAsia="宋体" w:cs="宋体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。</w:t>
      </w:r>
    </w:p>
    <w:p>
      <w:pPr>
        <w:snapToGrid w:val="0"/>
        <w:spacing w:line="500" w:lineRule="exact"/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宋体" w:hAnsi="宋体" w:eastAsia="宋体" w:cs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投标人资格和要求</w:t>
      </w:r>
    </w:p>
    <w:p>
      <w:pPr>
        <w:snapToGrid w:val="0"/>
        <w:spacing w:line="500" w:lineRule="exact"/>
        <w:rPr>
          <w:rFonts w:hint="default" w:ascii="宋体" w:hAnsi="宋体" w:eastAsia="宋体" w:cs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 xml:space="preserve">3.1 </w:t>
      </w:r>
      <w:r>
        <w:rPr>
          <w:rFonts w:hint="eastAsia" w:ascii="宋体" w:hAnsi="宋体" w:eastAsia="宋体" w:cs="宋体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投标人应具</w:t>
      </w:r>
      <w:r>
        <w:rPr>
          <w:rFonts w:hint="eastAsia" w:ascii="宋体" w:hAnsi="宋体" w:eastAsia="宋体" w:cs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有国家检验检测机构资质认定证书，实验室认可证书</w:t>
      </w: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宋体" w:hAnsi="宋体" w:cs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并具备实验室可靠性验证试验、可靠性加速寿命试验能力。</w:t>
      </w:r>
    </w:p>
    <w:p>
      <w:pPr>
        <w:snapToGrid w:val="0"/>
        <w:spacing w:line="500" w:lineRule="exact"/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 xml:space="preserve">3.2 </w:t>
      </w: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本次招标不接受联合体投标。</w:t>
      </w:r>
    </w:p>
    <w:p>
      <w:pPr>
        <w:snapToGrid w:val="0"/>
        <w:spacing w:line="500" w:lineRule="exact"/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 xml:space="preserve">3.3 </w:t>
      </w: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各合格的投标人均可对该项目进行投标。</w:t>
      </w:r>
    </w:p>
    <w:p>
      <w:pPr>
        <w:snapToGrid w:val="0"/>
        <w:spacing w:line="500" w:lineRule="exact"/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宋体" w:hAnsi="宋体" w:eastAsia="宋体" w:cs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招标文件的获取</w:t>
      </w:r>
    </w:p>
    <w:p>
      <w:pPr>
        <w:snapToGrid w:val="0"/>
        <w:spacing w:line="500" w:lineRule="exact"/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 xml:space="preserve">4.1 </w:t>
      </w: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凡有意参加投标者，请于</w:t>
      </w:r>
      <w:r>
        <w:rPr>
          <w:rFonts w:hint="eastAsia" w:ascii="宋体" w:hAnsi="宋体" w:eastAsia="宋体" w:cs="宋体"/>
          <w:color w:val="000000" w:themeColor="text1"/>
          <w:sz w:val="24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sz w:val="24"/>
          <w:u w:val="single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宋体" w:hAnsi="宋体" w:eastAsia="宋体" w:cs="宋体"/>
          <w:color w:val="000000" w:themeColor="text1"/>
          <w:sz w:val="24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2 </w:t>
      </w:r>
      <w:r>
        <w:rPr>
          <w:rFonts w:hint="eastAsia" w:ascii="宋体" w:hAnsi="宋体" w:eastAsia="宋体" w:cs="宋体"/>
          <w:color w:val="000000" w:themeColor="text1"/>
          <w:sz w:val="24"/>
          <w:u w:val="none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宋体" w:hAnsi="宋体" w:eastAsia="宋体" w:cs="宋体"/>
          <w:color w:val="000000" w:themeColor="text1"/>
          <w:sz w:val="24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cs="宋体"/>
          <w:color w:val="000000" w:themeColor="text1"/>
          <w:sz w:val="24"/>
          <w:u w:val="single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宋体" w:hAnsi="宋体" w:eastAsia="宋体" w:cs="宋体"/>
          <w:color w:val="000000" w:themeColor="text1"/>
          <w:sz w:val="24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sz w:val="24"/>
          <w:u w:val="none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宋体" w:hAnsi="宋体" w:eastAsia="宋体" w:cs="宋体"/>
          <w:color w:val="000000" w:themeColor="text1"/>
          <w:sz w:val="24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cs="宋体"/>
          <w:color w:val="000000" w:themeColor="text1"/>
          <w:sz w:val="24"/>
          <w:u w:val="single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宋体" w:hAnsi="宋体" w:eastAsia="宋体" w:cs="宋体"/>
          <w:color w:val="000000" w:themeColor="text1"/>
          <w:sz w:val="24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sz w:val="24"/>
          <w:u w:val="none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至</w:t>
      </w:r>
      <w:r>
        <w:rPr>
          <w:rFonts w:hint="eastAsia" w:ascii="宋体" w:hAnsi="宋体" w:eastAsia="宋体" w:cs="宋体"/>
          <w:color w:val="000000" w:themeColor="text1"/>
          <w:sz w:val="24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sz w:val="24"/>
          <w:u w:val="single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宋体" w:hAnsi="宋体" w:eastAsia="宋体" w:cs="宋体"/>
          <w:color w:val="000000" w:themeColor="text1"/>
          <w:sz w:val="24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2 </w:t>
      </w:r>
      <w:r>
        <w:rPr>
          <w:rFonts w:hint="eastAsia" w:ascii="宋体" w:hAnsi="宋体" w:eastAsia="宋体" w:cs="宋体"/>
          <w:color w:val="000000" w:themeColor="text1"/>
          <w:sz w:val="24"/>
          <w:u w:val="none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宋体" w:hAnsi="宋体" w:cs="宋体"/>
          <w:color w:val="000000" w:themeColor="text1"/>
          <w:sz w:val="24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7 </w:t>
      </w:r>
      <w:r>
        <w:rPr>
          <w:rFonts w:hint="eastAsia" w:ascii="宋体" w:hAnsi="宋体" w:eastAsia="宋体" w:cs="宋体"/>
          <w:color w:val="000000" w:themeColor="text1"/>
          <w:sz w:val="24"/>
          <w:u w:val="none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宋体" w:hAnsi="宋体" w:eastAsia="宋体" w:cs="宋体"/>
          <w:color w:val="000000" w:themeColor="text1"/>
          <w:sz w:val="24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cs="宋体"/>
          <w:color w:val="000000" w:themeColor="text1"/>
          <w:sz w:val="24"/>
          <w:u w:val="single"/>
          <w:lang w:val="en-US" w:eastAsia="zh-CN"/>
          <w14:textFill>
            <w14:solidFill>
              <w14:schemeClr w14:val="tx1"/>
            </w14:solidFill>
          </w14:textFill>
        </w:rPr>
        <w:t>18</w:t>
      </w:r>
      <w:r>
        <w:rPr>
          <w:rFonts w:hint="eastAsia" w:ascii="宋体" w:hAnsi="宋体" w:eastAsia="宋体" w:cs="宋体"/>
          <w:color w:val="000000" w:themeColor="text1"/>
          <w:sz w:val="24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sz w:val="24"/>
          <w:u w:val="none"/>
          <w:lang w:val="en-US" w:eastAsia="zh-CN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（法定公休日、法定节假日除外），每日上午</w:t>
      </w:r>
      <w:r>
        <w:rPr>
          <w:rFonts w:hint="eastAsia" w:ascii="宋体" w:hAnsi="宋体" w:eastAsia="宋体" w:cs="宋体"/>
          <w:color w:val="000000" w:themeColor="text1"/>
          <w:sz w:val="24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sz w:val="24"/>
          <w:u w:val="single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宋体" w:hAnsi="宋体" w:eastAsia="宋体" w:cs="宋体"/>
          <w:color w:val="000000" w:themeColor="text1"/>
          <w:sz w:val="24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sz w:val="24"/>
          <w:u w:val="none"/>
          <w14:textFill>
            <w14:solidFill>
              <w14:schemeClr w14:val="tx1"/>
            </w14:solidFill>
          </w14:textFill>
        </w:rPr>
        <w:t>时至</w:t>
      </w:r>
      <w:r>
        <w:rPr>
          <w:rFonts w:hint="eastAsia" w:ascii="宋体" w:hAnsi="宋体" w:eastAsia="宋体" w:cs="宋体"/>
          <w:color w:val="000000" w:themeColor="text1"/>
          <w:sz w:val="24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sz w:val="24"/>
          <w:u w:val="single"/>
          <w14:textFill>
            <w14:solidFill>
              <w14:schemeClr w14:val="tx1"/>
            </w14:solidFill>
          </w14:textFill>
        </w:rPr>
        <w:t>11</w:t>
      </w:r>
      <w:r>
        <w:rPr>
          <w:rFonts w:hint="eastAsia" w:ascii="宋体" w:hAnsi="宋体" w:eastAsia="宋体" w:cs="宋体"/>
          <w:color w:val="000000" w:themeColor="text1"/>
          <w:sz w:val="24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sz w:val="24"/>
          <w:u w:val="none"/>
          <w14:textFill>
            <w14:solidFill>
              <w14:schemeClr w14:val="tx1"/>
            </w14:solidFill>
          </w14:textFill>
        </w:rPr>
        <w:t>时</w:t>
      </w: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，下午</w:t>
      </w:r>
      <w:r>
        <w:rPr>
          <w:rFonts w:hint="eastAsia" w:ascii="宋体" w:hAnsi="宋体" w:eastAsia="宋体" w:cs="宋体"/>
          <w:color w:val="000000" w:themeColor="text1"/>
          <w:sz w:val="24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sz w:val="24"/>
          <w:u w:val="single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宋体" w:hAnsi="宋体" w:eastAsia="宋体" w:cs="宋体"/>
          <w:color w:val="000000" w:themeColor="text1"/>
          <w:sz w:val="24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sz w:val="24"/>
          <w:u w:val="none"/>
          <w14:textFill>
            <w14:solidFill>
              <w14:schemeClr w14:val="tx1"/>
            </w14:solidFill>
          </w14:textFill>
        </w:rPr>
        <w:t>时至</w:t>
      </w:r>
      <w:r>
        <w:rPr>
          <w:rFonts w:hint="eastAsia" w:ascii="宋体" w:hAnsi="宋体" w:eastAsia="宋体" w:cs="宋体"/>
          <w:color w:val="000000" w:themeColor="text1"/>
          <w:sz w:val="24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sz w:val="24"/>
          <w:u w:val="single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宋体" w:hAnsi="宋体" w:eastAsia="宋体" w:cs="宋体"/>
          <w:color w:val="000000" w:themeColor="text1"/>
          <w:sz w:val="24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sz w:val="24"/>
          <w:u w:val="none"/>
          <w14:textFill>
            <w14:solidFill>
              <w14:schemeClr w14:val="tx1"/>
            </w14:solidFill>
          </w14:textFill>
        </w:rPr>
        <w:t>时</w:t>
      </w: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（北京时间），持法人授权委托书、委托代理人身份证、</w:t>
      </w:r>
      <w:r>
        <w:rPr>
          <w:rFonts w:hint="eastAsia" w:ascii="宋体" w:hAnsi="宋体" w:cs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营业执照盖鲜章</w:t>
      </w: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在重庆工业自动化仪表研究所</w:t>
      </w:r>
      <w:r>
        <w:rPr>
          <w:rFonts w:hint="eastAsia" w:ascii="宋体" w:hAnsi="宋体" w:eastAsia="宋体" w:cs="宋体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有限责任公司</w:t>
      </w: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采购部报名并购买招标文件。</w:t>
      </w:r>
    </w:p>
    <w:p>
      <w:pPr>
        <w:snapToGrid w:val="0"/>
        <w:spacing w:line="500" w:lineRule="exact"/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 xml:space="preserve">4.2 </w:t>
      </w: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招标文件每套200元，售后不退。</w:t>
      </w:r>
    </w:p>
    <w:p>
      <w:pPr>
        <w:snapToGrid w:val="0"/>
        <w:spacing w:line="500" w:lineRule="exact"/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4.3</w:t>
      </w:r>
      <w:r>
        <w:rPr>
          <w:rFonts w:hint="eastAsia" w:ascii="宋体" w:hAnsi="宋体" w:cs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邮购招标文件的，需另加手续费（含邮费）</w:t>
      </w:r>
      <w:r>
        <w:rPr>
          <w:rFonts w:hint="eastAsia" w:ascii="宋体" w:hAnsi="宋体" w:cs="宋体"/>
          <w:color w:val="000000" w:themeColor="text1"/>
          <w:sz w:val="24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sz w:val="24"/>
          <w:u w:val="single"/>
          <w14:textFill>
            <w14:solidFill>
              <w14:schemeClr w14:val="tx1"/>
            </w14:solidFill>
          </w14:textFill>
        </w:rPr>
        <w:t>50</w:t>
      </w:r>
      <w:r>
        <w:rPr>
          <w:rFonts w:hint="eastAsia" w:ascii="宋体" w:hAnsi="宋体" w:cs="宋体"/>
          <w:color w:val="000000" w:themeColor="text1"/>
          <w:sz w:val="24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元。招标人在收到单位介绍信和邮购款（含手续费）后</w:t>
      </w:r>
      <w:r>
        <w:rPr>
          <w:rFonts w:hint="eastAsia" w:ascii="宋体" w:hAnsi="宋体" w:cs="宋体"/>
          <w:color w:val="000000" w:themeColor="text1"/>
          <w:sz w:val="24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sz w:val="24"/>
          <w:u w:val="single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宋体" w:hAnsi="宋体" w:cs="宋体"/>
          <w:color w:val="000000" w:themeColor="text1"/>
          <w:sz w:val="24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sz w:val="24"/>
          <w:u w:val="none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内寄送。</w:t>
      </w:r>
    </w:p>
    <w:p>
      <w:pPr>
        <w:snapToGrid w:val="0"/>
        <w:spacing w:line="500" w:lineRule="exact"/>
        <w:rPr>
          <w:rFonts w:hint="eastAsia" w:ascii="宋体" w:hAnsi="宋体" w:cs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5 招标金额</w:t>
      </w:r>
    </w:p>
    <w:p>
      <w:pPr>
        <w:snapToGrid w:val="0"/>
        <w:spacing w:line="500" w:lineRule="exact"/>
        <w:jc w:val="center"/>
        <w:rPr>
          <w:rFonts w:hint="eastAsia" w:ascii="宋体" w:hAnsi="宋体" w:eastAsia="宋体" w:cs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报价一览表</w:t>
      </w:r>
    </w:p>
    <w:tbl>
      <w:tblPr>
        <w:tblStyle w:val="6"/>
        <w:tblW w:w="79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3000"/>
        <w:gridCol w:w="870"/>
        <w:gridCol w:w="1020"/>
        <w:gridCol w:w="14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20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default" w:ascii="宋体" w:hAnsi="宋体" w:cs="宋体"/>
                <w:color w:val="000000" w:themeColor="text1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3000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default" w:ascii="宋体" w:hAnsi="宋体" w:cs="宋体"/>
                <w:color w:val="000000" w:themeColor="text1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检测项目</w:t>
            </w:r>
          </w:p>
        </w:tc>
        <w:tc>
          <w:tcPr>
            <w:tcW w:w="870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default" w:ascii="宋体" w:hAnsi="宋体" w:cs="宋体"/>
                <w:color w:val="000000" w:themeColor="text1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数量</w:t>
            </w:r>
          </w:p>
        </w:tc>
        <w:tc>
          <w:tcPr>
            <w:tcW w:w="1020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default" w:ascii="宋体" w:hAnsi="宋体" w:cs="宋体"/>
                <w:color w:val="000000" w:themeColor="text1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金额</w:t>
            </w:r>
          </w:p>
        </w:tc>
        <w:tc>
          <w:tcPr>
            <w:tcW w:w="1408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default" w:ascii="宋体" w:hAnsi="宋体" w:cs="宋体"/>
                <w:color w:val="000000" w:themeColor="text1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20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default" w:ascii="宋体" w:hAnsi="宋体" w:cs="宋体"/>
                <w:color w:val="000000" w:themeColor="text1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可靠性试验</w:t>
            </w:r>
          </w:p>
        </w:tc>
        <w:tc>
          <w:tcPr>
            <w:tcW w:w="3000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default" w:ascii="宋体" w:hAnsi="宋体" w:cs="宋体"/>
                <w:color w:val="000000" w:themeColor="text1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温度、振动、出厂检测</w:t>
            </w:r>
          </w:p>
        </w:tc>
        <w:tc>
          <w:tcPr>
            <w:tcW w:w="870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default" w:ascii="宋体" w:hAnsi="宋体" w:cs="宋体"/>
                <w:color w:val="000000" w:themeColor="text1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88套</w:t>
            </w:r>
          </w:p>
        </w:tc>
        <w:tc>
          <w:tcPr>
            <w:tcW w:w="1020" w:type="dxa"/>
            <w:vAlign w:val="center"/>
          </w:tcPr>
          <w:p>
            <w:pPr>
              <w:snapToGrid w:val="0"/>
              <w:spacing w:line="500" w:lineRule="exact"/>
              <w:jc w:val="right"/>
              <w:rPr>
                <w:rFonts w:hint="default" w:ascii="宋体" w:hAnsi="宋体" w:cs="宋体"/>
                <w:color w:val="000000" w:themeColor="text1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220000</w:t>
            </w:r>
          </w:p>
        </w:tc>
        <w:tc>
          <w:tcPr>
            <w:tcW w:w="1408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default" w:ascii="宋体" w:hAnsi="宋体" w:cs="宋体"/>
                <w:color w:val="000000" w:themeColor="text1"/>
                <w:sz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napToGrid w:val="0"/>
        <w:spacing w:line="500" w:lineRule="exact"/>
        <w:rPr>
          <w:rFonts w:hint="eastAsia" w:ascii="宋体" w:hAnsi="宋体" w:cs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500" w:lineRule="exact"/>
        <w:rPr>
          <w:rFonts w:hint="eastAsia" w:ascii="宋体" w:hAnsi="宋体" w:cs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 xml:space="preserve">附： </w:t>
      </w:r>
      <w:bookmarkStart w:id="1" w:name="_GoBack"/>
      <w:bookmarkEnd w:id="1"/>
    </w:p>
    <w:p>
      <w:pPr>
        <w:pStyle w:val="12"/>
        <w:rPr>
          <w:rFonts w:hint="eastAsia"/>
        </w:rPr>
      </w:pPr>
      <w:bookmarkStart w:id="0" w:name="_Hlk45554854"/>
      <w:r>
        <w:rPr>
          <w:rFonts w:hint="eastAsia"/>
          <w:color w:val="000000"/>
        </w:rPr>
        <w:t xml:space="preserve">   智能孔板流量计</w:t>
      </w:r>
      <w:r>
        <w:rPr>
          <w:rFonts w:hint="eastAsia"/>
        </w:rPr>
        <w:t>、智能压力变送器出厂检测及环境与可靠性试验</w:t>
      </w:r>
      <w:r>
        <w:rPr>
          <w:rFonts w:hint="eastAsia"/>
          <w:bCs/>
        </w:rPr>
        <w:t>价格表</w:t>
      </w:r>
    </w:p>
    <w:bookmarkEnd w:id="0"/>
    <w:tbl>
      <w:tblPr>
        <w:tblStyle w:val="5"/>
        <w:tblpPr w:leftFromText="180" w:rightFromText="180" w:vertAnchor="text" w:horzAnchor="page" w:tblpX="2070" w:tblpY="50"/>
        <w:tblOverlap w:val="never"/>
        <w:tblW w:w="81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4820"/>
        <w:gridCol w:w="988"/>
        <w:gridCol w:w="1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试验项目</w:t>
            </w:r>
          </w:p>
        </w:tc>
        <w:tc>
          <w:tcPr>
            <w:tcW w:w="98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单位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单价（元）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50mm及以下口径智能孔板流量计出厂检测</w:t>
            </w:r>
          </w:p>
        </w:tc>
        <w:tc>
          <w:tcPr>
            <w:tcW w:w="98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台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65mm、80mm口径智能孔板流量计出厂检测</w:t>
            </w:r>
          </w:p>
        </w:tc>
        <w:tc>
          <w:tcPr>
            <w:tcW w:w="98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台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100mm口径智能孔板流量计出厂检测</w:t>
            </w:r>
          </w:p>
        </w:tc>
        <w:tc>
          <w:tcPr>
            <w:tcW w:w="98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台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125mm、150mm口径智能孔板流量计出厂检测</w:t>
            </w:r>
          </w:p>
        </w:tc>
        <w:tc>
          <w:tcPr>
            <w:tcW w:w="98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台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200mm口径智能孔板流量计出厂检测</w:t>
            </w:r>
          </w:p>
        </w:tc>
        <w:tc>
          <w:tcPr>
            <w:tcW w:w="98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台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250mm、300mm口径智能孔板流量计出厂检测</w:t>
            </w:r>
          </w:p>
        </w:tc>
        <w:tc>
          <w:tcPr>
            <w:tcW w:w="98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台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350mm、400mm口径智能孔板流量计出厂检测</w:t>
            </w:r>
          </w:p>
        </w:tc>
        <w:tc>
          <w:tcPr>
            <w:tcW w:w="98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台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8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450mm、500mm 智能孔板流量计出厂检测</w:t>
            </w:r>
          </w:p>
        </w:tc>
        <w:tc>
          <w:tcPr>
            <w:tcW w:w="98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台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智能压力</w:t>
            </w:r>
            <w:r>
              <w:rPr>
                <w:rFonts w:hint="eastAsia"/>
              </w:rPr>
              <w:t>变送器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出厂检测</w:t>
            </w:r>
          </w:p>
        </w:tc>
        <w:tc>
          <w:tcPr>
            <w:tcW w:w="988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次</w:t>
            </w:r>
          </w:p>
        </w:tc>
        <w:tc>
          <w:tcPr>
            <w:tcW w:w="1530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振动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试验</w:t>
            </w:r>
          </w:p>
        </w:tc>
        <w:tc>
          <w:tcPr>
            <w:tcW w:w="988" w:type="dxa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小时</w:t>
            </w:r>
          </w:p>
        </w:tc>
        <w:tc>
          <w:tcPr>
            <w:tcW w:w="1530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温度试验</w:t>
            </w:r>
          </w:p>
        </w:tc>
        <w:tc>
          <w:tcPr>
            <w:tcW w:w="98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小时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寿命试验</w:t>
            </w:r>
          </w:p>
        </w:tc>
        <w:tc>
          <w:tcPr>
            <w:tcW w:w="98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天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</w:tbl>
    <w:p>
      <w:pPr>
        <w:snapToGrid w:val="0"/>
        <w:spacing w:line="500" w:lineRule="exact"/>
        <w:rPr>
          <w:rFonts w:hint="eastAsia" w:ascii="宋体" w:hAnsi="宋体" w:cs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500" w:lineRule="exact"/>
        <w:rPr>
          <w:rFonts w:hint="eastAsia" w:ascii="宋体" w:hAnsi="宋体" w:cs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500" w:lineRule="exact"/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宋体" w:hAnsi="宋体" w:eastAsia="宋体" w:cs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发布公告的媒介</w:t>
      </w:r>
    </w:p>
    <w:p>
      <w:pPr>
        <w:snapToGrid w:val="0"/>
        <w:spacing w:line="500" w:lineRule="exact"/>
        <w:ind w:firstLine="240" w:firstLineChars="100"/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本次招标公告在重庆工业自动化仪表研究所</w:t>
      </w:r>
      <w:r>
        <w:rPr>
          <w:rFonts w:hint="eastAsia" w:ascii="宋体" w:hAnsi="宋体" w:eastAsia="宋体" w:cs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有限责任公司</w:t>
      </w: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网站（</w:t>
      </w:r>
      <w:r>
        <w:rPr>
          <w:rStyle w:val="8"/>
          <w:rFonts w:hint="eastAsia" w:ascii="宋体" w:hAnsi="宋体" w:eastAsia="宋体" w:cs="宋体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www.ciiai.cn</w:t>
      </w: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）上发布。</w:t>
      </w:r>
    </w:p>
    <w:p>
      <w:pPr>
        <w:snapToGrid w:val="0"/>
        <w:spacing w:line="500" w:lineRule="exact"/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宋体" w:hAnsi="宋体" w:eastAsia="宋体" w:cs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招标单位</w:t>
      </w:r>
      <w:r>
        <w:rPr>
          <w:rFonts w:hint="eastAsia" w:ascii="宋体" w:hAnsi="宋体" w:eastAsia="宋体" w:cs="宋体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联系人</w:t>
      </w:r>
      <w:r>
        <w:rPr>
          <w:rFonts w:hint="eastAsia" w:ascii="宋体" w:hAnsi="宋体" w:eastAsia="宋体" w:cs="宋体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地点及人员</w:t>
      </w:r>
    </w:p>
    <w:p>
      <w:pPr>
        <w:snapToGrid w:val="0"/>
        <w:spacing w:line="500" w:lineRule="exact"/>
        <w:ind w:firstLine="240" w:firstLineChars="100"/>
        <w:rPr>
          <w:rFonts w:hint="eastAsia" w:ascii="宋体" w:hAnsi="宋体" w:eastAsia="宋体" w:cs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招标单位：</w:t>
      </w: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重庆工业自动化仪表研究所</w:t>
      </w:r>
      <w:r>
        <w:rPr>
          <w:rFonts w:hint="eastAsia" w:ascii="宋体" w:hAnsi="宋体" w:eastAsia="宋体" w:cs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有限责任公司</w:t>
      </w:r>
    </w:p>
    <w:p>
      <w:pPr>
        <w:snapToGrid w:val="0"/>
        <w:spacing w:line="500" w:lineRule="exact"/>
        <w:ind w:firstLine="240" w:firstLineChars="100"/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地</w:t>
      </w:r>
      <w:r>
        <w:rPr>
          <w:rFonts w:hint="eastAsia" w:ascii="宋体" w:hAnsi="宋体" w:cs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址：重庆市北部新区黄山大道杨柳路2号B区</w:t>
      </w:r>
    </w:p>
    <w:p>
      <w:pPr>
        <w:snapToGrid w:val="0"/>
        <w:spacing w:line="500" w:lineRule="exact"/>
        <w:ind w:firstLine="240" w:firstLineChars="100"/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邮</w:t>
      </w:r>
      <w:r>
        <w:rPr>
          <w:rFonts w:hint="eastAsia" w:ascii="宋体" w:hAnsi="宋体" w:cs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编：401123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210" w:firstLineChars="100"/>
        <w:textAlignment w:val="auto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500" w:lineRule="exact"/>
        <w:ind w:firstLine="240" w:firstLineChars="100"/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开户银行：工行西湖路支行</w:t>
      </w:r>
    </w:p>
    <w:p>
      <w:pPr>
        <w:snapToGrid w:val="0"/>
        <w:spacing w:line="500" w:lineRule="exact"/>
        <w:ind w:firstLine="240" w:firstLineChars="100"/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帐    号：3100032119100001521</w:t>
      </w:r>
    </w:p>
    <w:p>
      <w:pPr>
        <w:snapToGrid w:val="0"/>
        <w:spacing w:line="500" w:lineRule="exact"/>
        <w:ind w:firstLine="240" w:firstLineChars="100"/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行    号：102653001483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240" w:firstLineChars="100"/>
        <w:textAlignment w:val="auto"/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500" w:lineRule="exact"/>
        <w:ind w:firstLine="240" w:firstLineChars="100"/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联系人：李老师</w:t>
      </w:r>
    </w:p>
    <w:p>
      <w:pPr>
        <w:snapToGrid w:val="0"/>
        <w:spacing w:line="500" w:lineRule="exact"/>
        <w:ind w:firstLine="240" w:firstLineChars="100"/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电</w:t>
      </w:r>
      <w:r>
        <w:rPr>
          <w:rFonts w:hint="eastAsia" w:ascii="宋体" w:hAnsi="宋体" w:eastAsia="宋体" w:cs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话：023－89137815</w:t>
      </w:r>
    </w:p>
    <w:p>
      <w:pPr>
        <w:snapToGrid w:val="0"/>
        <w:spacing w:line="500" w:lineRule="exact"/>
        <w:ind w:firstLine="240" w:firstLineChars="100"/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传</w:t>
      </w:r>
      <w:r>
        <w:rPr>
          <w:rFonts w:hint="eastAsia" w:ascii="宋体" w:hAnsi="宋体" w:cs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真：023－89137817</w:t>
      </w:r>
    </w:p>
    <w:sectPr>
      <w:pgSz w:w="11906" w:h="16838"/>
      <w:pgMar w:top="1417" w:right="1418" w:bottom="1417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M0YWM3ZGRjNDM3NTRjMTAxZmQyZThiODZlMjAyYTgifQ=="/>
  </w:docVars>
  <w:rsids>
    <w:rsidRoot w:val="007C05D2"/>
    <w:rsid w:val="00016DFF"/>
    <w:rsid w:val="000A5130"/>
    <w:rsid w:val="001279FD"/>
    <w:rsid w:val="0022350F"/>
    <w:rsid w:val="002B476C"/>
    <w:rsid w:val="002C2F6A"/>
    <w:rsid w:val="004E22D5"/>
    <w:rsid w:val="004F5EB4"/>
    <w:rsid w:val="00546E70"/>
    <w:rsid w:val="005B049B"/>
    <w:rsid w:val="005E52AF"/>
    <w:rsid w:val="006141AF"/>
    <w:rsid w:val="0067762B"/>
    <w:rsid w:val="00694A64"/>
    <w:rsid w:val="006D2020"/>
    <w:rsid w:val="006D7B14"/>
    <w:rsid w:val="007251D1"/>
    <w:rsid w:val="007932FA"/>
    <w:rsid w:val="007C05D2"/>
    <w:rsid w:val="007D458B"/>
    <w:rsid w:val="007F466D"/>
    <w:rsid w:val="007F4FA4"/>
    <w:rsid w:val="008E421F"/>
    <w:rsid w:val="00A03F8A"/>
    <w:rsid w:val="00AE4C56"/>
    <w:rsid w:val="00AF25D3"/>
    <w:rsid w:val="00B554E7"/>
    <w:rsid w:val="00C60B2C"/>
    <w:rsid w:val="00CB67AD"/>
    <w:rsid w:val="00D11EEC"/>
    <w:rsid w:val="00D12E8B"/>
    <w:rsid w:val="00D601EE"/>
    <w:rsid w:val="00D65C09"/>
    <w:rsid w:val="00E21E55"/>
    <w:rsid w:val="00EE5FBE"/>
    <w:rsid w:val="02C26920"/>
    <w:rsid w:val="04833414"/>
    <w:rsid w:val="051F05A9"/>
    <w:rsid w:val="14946551"/>
    <w:rsid w:val="15801647"/>
    <w:rsid w:val="158B6C24"/>
    <w:rsid w:val="20122C41"/>
    <w:rsid w:val="34A86780"/>
    <w:rsid w:val="37536AA4"/>
    <w:rsid w:val="3B3F70B2"/>
    <w:rsid w:val="3CFF7733"/>
    <w:rsid w:val="456F713F"/>
    <w:rsid w:val="4BF41ED4"/>
    <w:rsid w:val="56DA342C"/>
    <w:rsid w:val="58A37CE3"/>
    <w:rsid w:val="66092D1D"/>
    <w:rsid w:val="66E46287"/>
    <w:rsid w:val="71FD0A0C"/>
    <w:rsid w:val="795D275F"/>
    <w:rsid w:val="7DB7734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g1"/>
    <w:basedOn w:val="7"/>
    <w:qFormat/>
    <w:uiPriority w:val="0"/>
    <w:rPr>
      <w:color w:val="008000"/>
    </w:rPr>
  </w:style>
  <w:style w:type="paragraph" w:customStyle="1" w:styleId="9">
    <w:name w:val=" Char Char Char1 Char Char Char Char"/>
    <w:basedOn w:val="1"/>
    <w:qFormat/>
    <w:uiPriority w:val="0"/>
  </w:style>
  <w:style w:type="character" w:customStyle="1" w:styleId="10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11">
    <w:name w:val="页脚 Char"/>
    <w:basedOn w:val="7"/>
    <w:link w:val="3"/>
    <w:qFormat/>
    <w:uiPriority w:val="0"/>
    <w:rPr>
      <w:kern w:val="2"/>
      <w:sz w:val="18"/>
      <w:szCs w:val="18"/>
    </w:rPr>
  </w:style>
  <w:style w:type="paragraph" w:customStyle="1" w:styleId="12">
    <w:name w:val="封面标准名称2"/>
    <w:basedOn w:val="1"/>
    <w:uiPriority w:val="0"/>
    <w:pPr>
      <w:adjustRightInd w:val="0"/>
      <w:snapToGrid w:val="0"/>
      <w:spacing w:line="680" w:lineRule="exact"/>
      <w:jc w:val="center"/>
      <w:textAlignment w:val="center"/>
    </w:pPr>
    <w:rPr>
      <w:rFonts w:ascii="宋体" w:hAnsi="宋体"/>
      <w:snapToGrid w:val="0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微软系统</Company>
  <Pages>2</Pages>
  <Words>741</Words>
  <Characters>844</Characters>
  <Lines>6</Lines>
  <Paragraphs>1</Paragraphs>
  <TotalTime>3</TotalTime>
  <ScaleCrop>false</ScaleCrop>
  <LinksUpToDate>false</LinksUpToDate>
  <CharactersWithSpaces>977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2011-04-18T03:20:00Z</dcterms:created>
  <dc:creator>刘光慧</dc:creator>
  <cp:lastModifiedBy>韩露</cp:lastModifiedBy>
  <cp:lastPrinted>2023-05-23T06:15:00Z</cp:lastPrinted>
  <dcterms:modified xsi:type="dcterms:W3CDTF">2023-09-08T03:24:49Z</dcterms:modified>
  <dc:title>重庆工业自动化仪表研究所流量实验室建设项目</dc:title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74F68D35EF8B41B9845D46C278EC910C_13</vt:lpwstr>
  </property>
</Properties>
</file>